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ind w:left="0" w:right="0"/>
        <w:jc w:val="center"/>
        <w:rPr>
          <w:rFonts w:ascii="微软雅黑" w:hAnsi="微软雅黑" w:eastAsia="微软雅黑" w:cs="微软雅黑"/>
          <w:color w:val="333333"/>
          <w:sz w:val="32"/>
          <w:szCs w:val="32"/>
        </w:rPr>
      </w:pPr>
      <w:r>
        <w:rPr>
          <w:rFonts w:hint="eastAsia" w:ascii="微软雅黑" w:hAnsi="微软雅黑" w:eastAsia="微软雅黑" w:cs="微软雅黑"/>
          <w:color w:val="333333"/>
          <w:kern w:val="2"/>
          <w:sz w:val="32"/>
          <w:szCs w:val="32"/>
          <w:shd w:val="clear" w:fill="FEFEFE"/>
          <w:lang w:val="en-US" w:eastAsia="zh-CN" w:bidi="ar"/>
        </w:rPr>
        <w:t>中国银行保险监督管理委员会令（2021年第3号）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ind w:left="0" w:right="0"/>
        <w:jc w:val="center"/>
        <w:rPr>
          <w:rFonts w:hint="eastAsia" w:ascii="微软雅黑" w:hAnsi="微软雅黑" w:eastAsia="微软雅黑" w:cs="微软雅黑"/>
          <w:color w:val="333333"/>
          <w:kern w:val="2"/>
          <w:sz w:val="21"/>
          <w:szCs w:val="21"/>
          <w:shd w:val="clear" w:fill="FEFEFE"/>
          <w:lang w:val="en-US" w:eastAsia="zh-CN" w:bidi="ar"/>
        </w:rPr>
      </w:pPr>
      <w:r>
        <w:rPr>
          <w:rFonts w:hint="eastAsia" w:ascii="微软雅黑" w:hAnsi="微软雅黑" w:eastAsia="微软雅黑" w:cs="微软雅黑"/>
          <w:color w:val="333333"/>
          <w:kern w:val="2"/>
          <w:sz w:val="21"/>
          <w:szCs w:val="21"/>
          <w:shd w:val="clear" w:fill="FEFEFE"/>
          <w:lang w:val="en-US" w:eastAsia="zh-CN" w:bidi="ar"/>
        </w:rPr>
        <w:t>银保监会令〔2021〕3号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ind w:left="0" w:right="0"/>
        <w:jc w:val="center"/>
        <w:rPr>
          <w:rFonts w:hint="eastAsia" w:ascii="微软雅黑" w:hAnsi="微软雅黑" w:eastAsia="微软雅黑" w:cs="微软雅黑"/>
          <w:color w:val="333333"/>
          <w:kern w:val="2"/>
          <w:sz w:val="21"/>
          <w:szCs w:val="21"/>
          <w:shd w:val="clear" w:fill="FEFEFE"/>
          <w:lang w:val="en-US" w:eastAsia="zh-CN" w:bidi="ar"/>
        </w:rPr>
      </w:pPr>
    </w:p>
    <w:p>
      <w:pPr>
        <w:pStyle w:val="2"/>
        <w:widowControl/>
        <w:snapToGrid w:val="0"/>
        <w:spacing w:before="0" w:beforeAutospacing="0" w:after="0" w:afterAutospacing="0" w:line="480" w:lineRule="auto"/>
        <w:ind w:left="0" w:right="0" w:firstLine="720" w:firstLineChars="200"/>
        <w:jc w:val="both"/>
        <w:rPr>
          <w:rFonts w:hint="default" w:ascii="仿宋_GB2312" w:eastAsia="仿宋_GB2312" w:cs="仿宋_GB2312"/>
          <w:b w:val="0"/>
          <w:color w:val="333333"/>
          <w:kern w:val="0"/>
          <w:sz w:val="36"/>
          <w:szCs w:val="36"/>
          <w:shd w:val="clear" w:fill="FFFFFF"/>
        </w:rPr>
      </w:pPr>
      <w:r>
        <w:rPr>
          <w:rFonts w:hint="default" w:ascii="仿宋_GB2312" w:eastAsia="仿宋_GB2312" w:cs="仿宋_GB2312"/>
          <w:b w:val="0"/>
          <w:color w:val="333333"/>
          <w:kern w:val="0"/>
          <w:sz w:val="36"/>
          <w:szCs w:val="36"/>
          <w:shd w:val="clear" w:fill="FFFFFF"/>
        </w:rPr>
        <w:t>《银行保险机构许可证管理办法》已于2020年12月8日经银保监会2020年第15次委务会议审议通过。现予公布，自2021年7月1日起施行。</w:t>
      </w:r>
    </w:p>
    <w:p>
      <w:pPr>
        <w:rPr>
          <w:rFonts w:hint="default" w:ascii="仿宋_GB2312" w:eastAsia="仿宋_GB2312" w:cs="仿宋_GB2312"/>
          <w:b w:val="0"/>
          <w:color w:val="333333"/>
          <w:kern w:val="0"/>
          <w:sz w:val="36"/>
          <w:szCs w:val="36"/>
          <w:shd w:val="clear" w:fill="FFFFFF"/>
        </w:rPr>
      </w:pPr>
    </w:p>
    <w:p>
      <w:pPr>
        <w:rPr>
          <w:rFonts w:hint="default" w:ascii="仿宋_GB2312" w:eastAsia="仿宋_GB2312" w:cs="仿宋_GB2312"/>
          <w:b w:val="0"/>
          <w:color w:val="333333"/>
          <w:kern w:val="0"/>
          <w:sz w:val="36"/>
          <w:szCs w:val="36"/>
          <w:shd w:val="clear" w:fill="FFFFFF"/>
        </w:rPr>
      </w:pPr>
    </w:p>
    <w:p>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480" w:lineRule="auto"/>
        <w:ind w:left="0" w:leftChars="0" w:right="0" w:rightChars="0" w:firstLine="720" w:firstLineChars="200"/>
        <w:jc w:val="right"/>
      </w:pPr>
      <w:r>
        <w:rPr>
          <w:rFonts w:hint="default" w:ascii="仿宋_GB2312" w:hAnsi="Calibri" w:eastAsia="仿宋_GB2312" w:cs="仿宋_GB2312"/>
          <w:color w:val="333333"/>
          <w:kern w:val="2"/>
          <w:sz w:val="36"/>
          <w:szCs w:val="36"/>
          <w:shd w:val="clear" w:fill="FEFEFE"/>
          <w:lang w:val="en-US" w:eastAsia="zh-CN" w:bidi="ar"/>
        </w:rPr>
        <w:t xml:space="preserve">主席 郭树清 </w:t>
      </w:r>
    </w:p>
    <w:p>
      <w:pPr>
        <w:keepNext w:val="0"/>
        <w:keepLines w:val="0"/>
        <w:widowControl w:val="0"/>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480" w:lineRule="auto"/>
        <w:ind w:left="0" w:leftChars="0" w:right="0" w:rightChars="0" w:firstLine="720" w:firstLineChars="200"/>
        <w:jc w:val="right"/>
      </w:pPr>
      <w:r>
        <w:rPr>
          <w:rFonts w:hint="default" w:ascii="仿宋_GB2312" w:hAnsi="Calibri" w:eastAsia="仿宋_GB2312" w:cs="仿宋_GB2312"/>
          <w:color w:val="333333"/>
          <w:kern w:val="2"/>
          <w:sz w:val="36"/>
          <w:szCs w:val="36"/>
          <w:shd w:val="clear" w:fill="FEFEFE"/>
          <w:lang w:val="en-US" w:eastAsia="zh-CN" w:bidi="ar"/>
        </w:rPr>
        <w:t>2021年4月28日</w:t>
      </w:r>
    </w:p>
    <w:p>
      <w:pPr>
        <w:spacing w:before="0" w:beforeAutospacing="0" w:after="0" w:afterAutospacing="0" w:line="480" w:lineRule="auto"/>
        <w:ind w:left="0" w:right="0"/>
        <w:rPr>
          <w:rFonts w:hint="eastAsia" w:ascii="黑体" w:hAnsi="Calibri" w:eastAsia="黑体" w:cs="Times New Roman"/>
          <w:color w:val="333333"/>
          <w:kern w:val="2"/>
          <w:sz w:val="36"/>
          <w:szCs w:val="36"/>
          <w:shd w:val="clear" w:fill="FEFEFE"/>
        </w:rPr>
        <w:sectPr>
          <w:pgSz w:w="11906" w:h="16838"/>
          <w:pgMar w:top="1440" w:right="1803" w:bottom="1440" w:left="1803" w:header="720" w:footer="720" w:gutter="0"/>
          <w:cols w:space="425" w:num="1"/>
          <w:docGrid w:type="lines" w:linePitch="312" w:charSpace="0"/>
        </w:sectPr>
      </w:pP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0" w:rightChars="0"/>
        <w:jc w:val="center"/>
      </w:pPr>
      <w:bookmarkStart w:id="0" w:name="_GoBack"/>
      <w:r>
        <w:rPr>
          <w:rFonts w:hint="eastAsia" w:ascii="黑体" w:hAnsi="宋体" w:eastAsia="黑体" w:cs="黑体"/>
          <w:b w:val="0"/>
          <w:color w:val="333333"/>
          <w:kern w:val="2"/>
          <w:sz w:val="44"/>
          <w:szCs w:val="44"/>
          <w:shd w:val="clear" w:fill="FEFEFE"/>
          <w:lang w:val="en-US" w:eastAsia="zh-CN" w:bidi="ar"/>
        </w:rPr>
        <w:t>银行保险机构许可证管理办法</w:t>
      </w:r>
    </w:p>
    <w:bookmarkEnd w:id="0"/>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第一条</w:t>
      </w:r>
      <w:r>
        <w:rPr>
          <w:rFonts w:hint="default" w:ascii="仿宋_GB2312" w:hAnsi="Calibri" w:eastAsia="仿宋_GB2312" w:cs="仿宋_GB2312"/>
          <w:color w:val="333333"/>
          <w:kern w:val="2"/>
          <w:sz w:val="32"/>
          <w:szCs w:val="32"/>
          <w:shd w:val="clear" w:fill="FEFEFE"/>
          <w:lang w:val="en-US" w:eastAsia="zh-CN" w:bidi="ar"/>
        </w:rPr>
        <w:t xml:space="preserve"> 为了加强银行保险机构许可证管理，促进银行保险机构依法经营，根据《中华人民共和国行政许可法》《中华人民共和国银行业监督管理法》《中华人民共和国商业银行法》《中华人民共和国保险法》等有关法律规定，制定本办法。</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第二条</w:t>
      </w:r>
      <w:r>
        <w:rPr>
          <w:rFonts w:hint="default" w:ascii="仿宋_GB2312" w:hAnsi="Calibri" w:eastAsia="仿宋_GB2312" w:cs="仿宋_GB2312"/>
          <w:color w:val="333333"/>
          <w:kern w:val="2"/>
          <w:sz w:val="32"/>
          <w:szCs w:val="32"/>
          <w:shd w:val="clear" w:fill="FEFEFE"/>
          <w:lang w:val="en-US" w:eastAsia="zh-CN" w:bidi="ar"/>
        </w:rPr>
        <w:t xml:space="preserve"> 本办法所称许可证是指中国银行保险监督管理委员会（以下简称银保监会）依法颁发的特许银行保险机构经营金融业务的法律文件。</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许可证的颁发、换发、收缴等由银保监会及其授权的派出机构依法行使，其他任何单位和个人不得行使上述职权。</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第三条</w:t>
      </w:r>
      <w:r>
        <w:rPr>
          <w:rFonts w:hint="default" w:ascii="仿宋_GB2312" w:hAnsi="Calibri" w:eastAsia="仿宋_GB2312" w:cs="仿宋_GB2312"/>
          <w:color w:val="333333"/>
          <w:kern w:val="2"/>
          <w:sz w:val="32"/>
          <w:szCs w:val="32"/>
          <w:shd w:val="clear" w:fill="FEFEFE"/>
          <w:lang w:val="en-US" w:eastAsia="zh-CN" w:bidi="ar"/>
        </w:rPr>
        <w:t xml:space="preserve"> 本办法所称银行保险机构包括政策性银行、大型银行、股份制银行、城市商业银行、民营银行、外资银行、农村中小银行机构等银行机构及其分支机构，保险集团（控股）公司、保险公司、保险资产管理公司、金融资产管理公司、信托公司、企业集团财务公司、金融租赁公司、汽车金融公司、货币经纪公司、消费金融公司、银行理财公司、金融资产投资公司以及经银保监会及其派出机构批准设立的其他非银行金融机构及其分支机构，保险代理集团（控股）公司、保险经纪集团（控股）公司、保险专业代理公司、保险经纪公司、保险兼业代理机构等保险中介机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上述银行保险机构开展金融业务，应当依法取得许可证和市场监督管理部门颁发的营业执照。</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第四条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本办法所称许可证包括下列几种类型：</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（一）金融许可证；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（二）保险许可证；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（三）保险中介许可证。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金融许可证适用于政策性银行、大型银行、股份制银行、城市商业银行、民营银行、外资银行、农村中小银行机构等银行机构及其分支机构，以及金融资产管理公司、信托公司、企业集团财务公司、金融租赁公司、汽车金融公司、货币经纪公司、消费金融公司、银行理财公司、金融资产投资公司等非银行金融机构及其分支机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保险许可证适用于保险集团（控股）公司、保险公司、保险资产管理公司等保险机构及其分支机构。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保险中介许可证适用于保险代理集团（控股）公司、保险经纪集团（控股）公司、保险专业代理公司、保险经纪公司、保险兼业代理机构等保险中介机构。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第五条</w:t>
      </w:r>
      <w:r>
        <w:rPr>
          <w:rFonts w:hint="default" w:ascii="仿宋_GB2312" w:hAnsi="Calibri" w:eastAsia="仿宋_GB2312" w:cs="仿宋_GB2312"/>
          <w:color w:val="333333"/>
          <w:kern w:val="2"/>
          <w:sz w:val="32"/>
          <w:szCs w:val="32"/>
          <w:shd w:val="clear" w:fill="FEFEFE"/>
          <w:lang w:val="en-US" w:eastAsia="zh-CN" w:bidi="ar"/>
        </w:rPr>
        <w:t xml:space="preserve"> 银保监会对银行保险机构许可证实行分级管理。</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银保监会负责其直接监管的政策性银行、大型银行、股份制银行、外资银行，保险集团（控股）公司、保险公司、保险资产管理公司、保险代理集团（控股）公司、保险经纪集团（控股）公司，金融资产管理公司、银行理财公司、金融资产投资公司、保险兼业代理机构等银行保险机构许可证的颁发与管理。</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银保监会派出机构根据上级管理单位授权，负责辖内银行保险机构许可证的颁发与管理。</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第六条</w:t>
      </w:r>
      <w:r>
        <w:rPr>
          <w:rFonts w:hint="default" w:ascii="仿宋_GB2312" w:hAnsi="Calibri" w:eastAsia="仿宋_GB2312" w:cs="仿宋_GB2312"/>
          <w:color w:val="333333"/>
          <w:kern w:val="2"/>
          <w:sz w:val="32"/>
          <w:szCs w:val="32"/>
          <w:shd w:val="clear" w:fill="FEFEFE"/>
          <w:lang w:val="en-US" w:eastAsia="zh-CN" w:bidi="ar"/>
        </w:rPr>
        <w:t xml:space="preserve"> 银保监会及其派出机构根据行政许可决定或备案、报告信息向银行保险机构颁发、换发、收缴许可证。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经批准设立的银行保险机构应当自收到行政许可决定之日起10日内到银保监会或其派出机构领取许可证。对于采取备案或报告管理的机构设立事项，银行保险机构应当在完成报告或备案后10日内到银保监会或其派出机构领取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第七条</w:t>
      </w:r>
      <w:r>
        <w:rPr>
          <w:rFonts w:hint="default" w:ascii="仿宋_GB2312" w:hAnsi="Calibri" w:eastAsia="仿宋_GB2312" w:cs="仿宋_GB2312"/>
          <w:color w:val="333333"/>
          <w:kern w:val="2"/>
          <w:sz w:val="32"/>
          <w:szCs w:val="32"/>
          <w:shd w:val="clear" w:fill="FEFEFE"/>
          <w:lang w:val="en-US" w:eastAsia="zh-CN" w:bidi="ar"/>
        </w:rPr>
        <w:t xml:space="preserve"> 许可证载明下列内容：</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（一）机构编码；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（二）机构名称；</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（三）业务范围；</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（四）批准日期；</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（五）机构住所；</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（六）颁发许可证日期；</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（七）发证机关。</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机构编码按照银保监会有关编码规则确定。</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金融许可证和保险许可证的批准日期为机构批准设立日期。保险中介许可证的批准日期为保险中介业务资格批准日期。对于采取备案或报告管理的机构设立事项，批准日期为发证机关收到完整备案或报告材料的日期。</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第八条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银行保险机构领取许可证时，应当提交下列材料：</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（一）银行保险机构介绍信或委托书；</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（二）领取许可证人员的合法有效身份证明。</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第九条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许可证记载事项发生变更的，银行保险机构应当向发证机关缴回原证，并领取新许可证。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前款所称事项变更须经发证机关许可的，银行保险机构应当自收到行政许可决定之日起10日内到发证机关领取新许可证。前款所称变更事项须向发证机关备案或报告的，银行保险机构应当在完成备案或报告后10日内到发证机关领取新许可证。前款所称变更事项无须许可或备案、报告的，银行保险机构应当自变更之日起15日内到发证机关领取新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第十条</w:t>
      </w:r>
      <w:r>
        <w:rPr>
          <w:rFonts w:hint="default" w:ascii="仿宋_GB2312" w:hAnsi="Calibri" w:eastAsia="仿宋_GB2312" w:cs="仿宋_GB2312"/>
          <w:color w:val="333333"/>
          <w:kern w:val="2"/>
          <w:sz w:val="32"/>
          <w:szCs w:val="32"/>
          <w:shd w:val="clear" w:fill="FEFEFE"/>
          <w:lang w:val="en-US" w:eastAsia="zh-CN" w:bidi="ar"/>
        </w:rPr>
        <w:t xml:space="preserve"> 许可证破损的，银行保险机构应当自发现之日起7日内向发证机关缴回原证，并领取新许可证。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第十一条</w:t>
      </w:r>
      <w:r>
        <w:rPr>
          <w:rFonts w:hint="default" w:ascii="仿宋_GB2312" w:hAnsi="Calibri" w:eastAsia="仿宋_GB2312" w:cs="仿宋_GB2312"/>
          <w:color w:val="333333"/>
          <w:kern w:val="2"/>
          <w:sz w:val="32"/>
          <w:szCs w:val="32"/>
          <w:shd w:val="clear" w:fill="FEFEFE"/>
          <w:lang w:val="en-US" w:eastAsia="zh-CN" w:bidi="ar"/>
        </w:rPr>
        <w:t xml:space="preserve"> 许可证遗失，银行保险机构应立即报告发证机关，并于发现之日起7日内发布遗失声明公告、重新领取许可证。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报告内容包括机构名称、地址、批准日期，许可证流水号、编码、颁发日期，当事人、失控的时间、地点、事发原因、过程等情况。</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发布遗失声明公告的方式同新领、换领许可证。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许可证遗失的，银行保险机构向发证机关领取新许可证时，除应提交本办法第八条规定的材料外，还应当提交遗失声明公告及对该事件的处理结果报告。</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第十二条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银行保险机构行政许可被撤销，被吊销许可证，或者机构解散、关闭、被撤销、被宣告破产的，应当在收到银保监会及其派出机构有关文件、法律文书或人民法院宣告破产裁定书之日起15日内，将许可证缴回发证机关；逾期不缴回的，由发证机关在缴回期满后5日内依法收缴。</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第十三条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新领、换领许可证，银行保险机构应于30日内进行公告。银行保险机构应采取下列一种或多种方式进行公告：</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（一）在公开发行报刊上公告；</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（二）在银行保险机构官方网站上公告；</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（三）其他有效便捷的公告方式。</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公告的具体内容应当包括：事由、机构名称、机构住所、机构编码、联系电话。公告的知晓范围应至少与机构开展业务经营的地域范围相匹配。银行保险机构应保留相关公告材料备查。</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第十四条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银行保险机构应当在营业场所的显著位置公示许可证原件。保险中介机构分支机构应当在营业场所的显著位置公示加盖法人机构公章的许可证复印件。</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银行保险机构应当依据行政许可决定文件和上级管理单位授权文件，在营业场所的显著位置以适当方式公示其业务范围、经营区域、主要负责人。通过网络平台开展业务的，应当在相关网络页面及功能模块以清晰、醒目的方式展示上述内容。</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上述公示事项内容发生变更，银行保险机构应当自变更之日起10日内更换公示内容。</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第十五条</w:t>
      </w:r>
      <w:r>
        <w:rPr>
          <w:rFonts w:hint="default" w:ascii="仿宋_GB2312" w:hAnsi="Calibri" w:eastAsia="仿宋_GB2312" w:cs="仿宋_GB2312"/>
          <w:color w:val="333333"/>
          <w:kern w:val="2"/>
          <w:sz w:val="32"/>
          <w:szCs w:val="32"/>
          <w:shd w:val="clear" w:fill="FEFEFE"/>
          <w:lang w:val="en-US" w:eastAsia="zh-CN" w:bidi="ar"/>
        </w:rPr>
        <w:t xml:space="preserve"> 银行保险机构应当妥善保管和依法使用许可证。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任何单位和个人不得伪造、变造、转让、出租、出借银行保险机构许可证。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第十六条</w:t>
      </w:r>
      <w:r>
        <w:rPr>
          <w:rFonts w:hint="default" w:ascii="仿宋_GB2312" w:hAnsi="Calibri" w:eastAsia="仿宋_GB2312" w:cs="仿宋_GB2312"/>
          <w:color w:val="333333"/>
          <w:kern w:val="2"/>
          <w:sz w:val="32"/>
          <w:szCs w:val="32"/>
          <w:shd w:val="clear" w:fill="FEFEFE"/>
          <w:lang w:val="en-US" w:eastAsia="zh-CN" w:bidi="ar"/>
        </w:rPr>
        <w:t xml:space="preserve"> 银保监会及其派出机构应当加强银行保险机构许可证的信息管理，建立完善的许可证管理信息系统，依法披露许可证的有关信息。</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第十七条</w:t>
      </w:r>
      <w:r>
        <w:rPr>
          <w:rFonts w:hint="default" w:ascii="仿宋_GB2312" w:hAnsi="Calibri" w:eastAsia="仿宋_GB2312" w:cs="仿宋_GB2312"/>
          <w:color w:val="333333"/>
          <w:kern w:val="2"/>
          <w:sz w:val="32"/>
          <w:szCs w:val="32"/>
          <w:shd w:val="clear" w:fill="FEFEFE"/>
          <w:lang w:val="en-US" w:eastAsia="zh-CN" w:bidi="ar"/>
        </w:rPr>
        <w:t xml:space="preserve"> 银保监会及其派出机构依法对银行保险机构许可证管理、公告和公示等情况进行监督与检查。</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第十八条</w:t>
      </w:r>
      <w:r>
        <w:rPr>
          <w:rFonts w:hint="default" w:ascii="仿宋_GB2312" w:hAnsi="Calibri" w:eastAsia="仿宋_GB2312" w:cs="仿宋_GB2312"/>
          <w:color w:val="333333"/>
          <w:kern w:val="2"/>
          <w:sz w:val="32"/>
          <w:szCs w:val="32"/>
          <w:shd w:val="clear" w:fill="FEFEFE"/>
          <w:lang w:val="en-US" w:eastAsia="zh-CN" w:bidi="ar"/>
        </w:rPr>
        <w:t xml:space="preserve"> 银行保险机构违反本办法，有下列情形之一的，依照《中华人民共和国银行业监督管理法》《中华人民共和国商业银行法》《中华人民共和国保险法》有关规定进行处罚；法律、行政法规没有规定的，由银保监会及其派出机构责令改正，予以警告，对有违法所得的处以违法所得一倍以上三倍以下罚款，但最高不超过三万元，对没有违法所得的处以一万元以下罚款；构成犯罪的，依法追究刑事责任：</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（一）转让、出租、出借、伪造、变造许可证；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（二）未按规定新领、换领、缴回许可证；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（三）损坏许可证；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（四）因管理不善导致许可证遗失；</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（五）遗失许可证未按规定向发证机关报告；</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（六）未按规定公示许可证、业务范围、经营区域、主要负责人；</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（七）新领、换领许可证等未按规定进行公告；</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（八）新领、换领许可证后未按规定向市场监督管理部门办理登记，领取、换领营业执照。</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第十九条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银行保险机构许可证由银保监会统一印制和管理。颁发时加盖发证机关的单位印章方可生效。</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银保监会及其派出机构应按照行政审批与许可证管理适当分离的原则，对许可证进行专门管理。许可证保管、打印、颁发等职能应相互分离、相互制约，同时建立许可证颁发、收缴、销毁登记制度。</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对于许可证颁发管理过程中产生的废证、收回的旧证、依法缴回和吊销的许可证，应加盖“作废”章，作为重要凭证专门收档，定期销毁。</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第二十条</w:t>
      </w:r>
      <w:r>
        <w:rPr>
          <w:rFonts w:hint="default" w:ascii="仿宋_GB2312" w:hAnsi="Calibri" w:eastAsia="仿宋_GB2312" w:cs="仿宋_GB2312"/>
          <w:color w:val="333333"/>
          <w:kern w:val="2"/>
          <w:sz w:val="32"/>
          <w:szCs w:val="32"/>
          <w:shd w:val="clear" w:fill="FEFEFE"/>
          <w:lang w:val="en-US" w:eastAsia="zh-CN" w:bidi="ar"/>
        </w:rPr>
        <w:t xml:space="preserve"> 银保监会根据电子证照相关法律法规、国家标准和全国一体化在线政务服务平台标准，制定银行保险机构许可证电子证照标准，推进银行保险机构许可证电子化。</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银行保险机构许可证电子证的签发、使用、管理等，按国家和银保监会有关规定执行。</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eastAsia" w:ascii="黑体" w:hAnsi="宋体" w:eastAsia="黑体" w:cs="黑体"/>
          <w:b w:val="0"/>
          <w:color w:val="333333"/>
          <w:kern w:val="2"/>
          <w:sz w:val="32"/>
          <w:szCs w:val="32"/>
          <w:shd w:val="clear" w:fill="FEFEFE"/>
          <w:lang w:val="en-US" w:eastAsia="zh-CN" w:bidi="ar"/>
        </w:rPr>
        <w:t>第二十一条</w:t>
      </w:r>
      <w:r>
        <w:rPr>
          <w:rFonts w:hint="default" w:ascii="仿宋_GB2312" w:hAnsi="Calibri" w:eastAsia="仿宋_GB2312" w:cs="仿宋_GB2312"/>
          <w:color w:val="333333"/>
          <w:kern w:val="2"/>
          <w:sz w:val="32"/>
          <w:szCs w:val="32"/>
          <w:shd w:val="clear" w:fill="FEFEFE"/>
          <w:lang w:val="en-US" w:eastAsia="zh-CN" w:bidi="ar"/>
        </w:rPr>
        <w:t xml:space="preserve"> 本办法规定的有关期限，均以工作日计算。</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rPr>
          <w:rFonts w:hint="default" w:ascii="仿宋_GB2312" w:hAnsi="Calibri" w:eastAsia="仿宋_GB2312" w:cs="仿宋_GB2312"/>
          <w:color w:val="333333"/>
          <w:kern w:val="2"/>
          <w:sz w:val="32"/>
          <w:szCs w:val="32"/>
          <w:shd w:val="clear" w:fill="FEFEFE"/>
          <w:lang w:val="en-US" w:eastAsia="zh-CN" w:bidi="ar"/>
        </w:rPr>
      </w:pPr>
      <w:r>
        <w:rPr>
          <w:rFonts w:hint="eastAsia" w:ascii="黑体" w:hAnsi="宋体" w:eastAsia="黑体" w:cs="黑体"/>
          <w:b w:val="0"/>
          <w:color w:val="333333"/>
          <w:kern w:val="2"/>
          <w:sz w:val="32"/>
          <w:szCs w:val="32"/>
          <w:shd w:val="clear" w:fill="FEFEFE"/>
          <w:lang w:val="en-US" w:eastAsia="zh-CN" w:bidi="ar"/>
        </w:rPr>
        <w:t>第二十二条</w:t>
      </w:r>
      <w:r>
        <w:rPr>
          <w:rFonts w:hint="default" w:ascii="仿宋_GB2312" w:hAnsi="Calibri" w:eastAsia="仿宋_GB2312" w:cs="仿宋_GB2312"/>
          <w:b/>
          <w:color w:val="333333"/>
          <w:kern w:val="2"/>
          <w:sz w:val="32"/>
          <w:szCs w:val="32"/>
          <w:shd w:val="clear" w:fill="FEFEFE"/>
          <w:lang w:val="en-US" w:eastAsia="zh-CN" w:bidi="ar"/>
        </w:rPr>
        <w:t xml:space="preserve"> </w:t>
      </w:r>
      <w:r>
        <w:rPr>
          <w:rFonts w:hint="default" w:ascii="仿宋_GB2312" w:hAnsi="Calibri" w:eastAsia="仿宋_GB2312" w:cs="仿宋_GB2312"/>
          <w:color w:val="333333"/>
          <w:kern w:val="2"/>
          <w:sz w:val="32"/>
          <w:szCs w:val="32"/>
          <w:shd w:val="clear" w:fill="FEFEFE"/>
          <w:lang w:val="en-US" w:eastAsia="zh-CN" w:bidi="ar"/>
        </w:rPr>
        <w:t>本办法由银保监会负责解释。本办法自2021年7月1日起施行，《金融许可证管理办法》（银监会令2007年第8号修订）和《保险许可证管理办法》（保监会令2007年第1号）同时废止。</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rPr>
          <w:rFonts w:hint="default" w:ascii="仿宋_GB2312" w:hAnsi="Calibri" w:eastAsia="仿宋_GB2312" w:cs="仿宋_GB2312"/>
          <w:color w:val="333333"/>
          <w:kern w:val="2"/>
          <w:sz w:val="32"/>
          <w:szCs w:val="32"/>
          <w:shd w:val="clear" w:fill="FEFEFE"/>
          <w:lang w:val="en-US" w:eastAsia="zh-CN" w:bidi="ar"/>
        </w:rPr>
      </w:pP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1.中国银保监会发布《银行保险机构许可证管理办法》</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420" w:firstLineChars="200"/>
        <w:jc w:val="both"/>
      </w:pPr>
      <w:r>
        <w:rPr>
          <w:rFonts w:hint="default" w:ascii="Calibri" w:hAnsi="Calibri" w:eastAsia="宋体" w:cs="Times New Roman"/>
          <w:color w:val="000000"/>
          <w:kern w:val="2"/>
          <w:sz w:val="21"/>
          <w:szCs w:val="21"/>
          <w:u w:val="none"/>
          <w:shd w:val="clear" w:fill="FEFEFE"/>
          <w:lang w:val="en-US" w:eastAsia="zh-CN" w:bidi="ar"/>
        </w:rPr>
        <w:fldChar w:fldCharType="begin"/>
      </w:r>
      <w:r>
        <w:rPr>
          <w:rFonts w:hint="default" w:ascii="Calibri" w:hAnsi="Calibri" w:eastAsia="宋体" w:cs="Times New Roman"/>
          <w:color w:val="000000"/>
          <w:kern w:val="2"/>
          <w:sz w:val="21"/>
          <w:szCs w:val="21"/>
          <w:u w:val="none"/>
          <w:shd w:val="clear" w:fill="FEFEFE"/>
          <w:lang w:val="en-US" w:eastAsia="zh-CN" w:bidi="ar"/>
        </w:rPr>
        <w:instrText xml:space="preserve"> HYPERLINK "http://www.cbirc.gov.cn/cn/view/pages/ItemDetail.html?docId=982005&amp;itemId=915" </w:instrText>
      </w:r>
      <w:r>
        <w:rPr>
          <w:rFonts w:hint="default" w:ascii="Calibri" w:hAnsi="Calibri" w:eastAsia="宋体" w:cs="Times New Roman"/>
          <w:color w:val="000000"/>
          <w:kern w:val="2"/>
          <w:sz w:val="21"/>
          <w:szCs w:val="21"/>
          <w:u w:val="none"/>
          <w:shd w:val="clear" w:fill="FEFEFE"/>
          <w:lang w:val="en-US" w:eastAsia="zh-CN" w:bidi="ar"/>
        </w:rPr>
        <w:fldChar w:fldCharType="separate"/>
      </w:r>
      <w:r>
        <w:rPr>
          <w:rStyle w:val="7"/>
          <w:rFonts w:hint="default" w:ascii="仿宋_GB2312" w:hAnsi="Calibri" w:eastAsia="仿宋_GB2312" w:cs="仿宋_GB2312"/>
          <w:color w:val="000000"/>
          <w:kern w:val="2"/>
          <w:sz w:val="32"/>
          <w:szCs w:val="32"/>
          <w:u w:val="none"/>
          <w:shd w:val="clear" w:fill="FEFEFE"/>
        </w:rPr>
        <w:t>http://www.cbirc.gov.cn/cn/view/pages/ItemDetail.html?docId=982005&amp;itemId=915</w:t>
      </w:r>
      <w:r>
        <w:rPr>
          <w:rFonts w:hint="default" w:ascii="Calibri" w:hAnsi="Calibri" w:eastAsia="宋体" w:cs="Times New Roman"/>
          <w:color w:val="000000"/>
          <w:kern w:val="2"/>
          <w:sz w:val="21"/>
          <w:szCs w:val="21"/>
          <w:u w:val="none"/>
          <w:shd w:val="clear" w:fill="FEFEFE"/>
          <w:lang w:val="en-US" w:eastAsia="zh-CN" w:bidi="ar"/>
        </w:rPr>
        <w:fldChar w:fldCharType="end"/>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640" w:firstLineChars="200"/>
        <w:jc w:val="both"/>
      </w:pPr>
      <w:r>
        <w:rPr>
          <w:rFonts w:hint="default" w:ascii="仿宋_GB2312" w:hAnsi="Calibri" w:eastAsia="仿宋_GB2312" w:cs="仿宋_GB2312"/>
          <w:color w:val="333333"/>
          <w:kern w:val="2"/>
          <w:sz w:val="32"/>
          <w:szCs w:val="32"/>
          <w:shd w:val="clear" w:fill="FEFEFE"/>
          <w:lang w:val="en-US" w:eastAsia="zh-CN" w:bidi="ar"/>
        </w:rPr>
        <w:t>2.中国银保监会有关部门负责人就《银行保险机构许可证管理办法》答记者问</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rightChars="0" w:firstLine="420" w:firstLineChars="200"/>
        <w:jc w:val="both"/>
      </w:pPr>
      <w:r>
        <w:rPr>
          <w:rFonts w:hint="default" w:ascii="Calibri" w:hAnsi="Calibri" w:eastAsia="宋体" w:cs="Times New Roman"/>
          <w:color w:val="000000"/>
          <w:kern w:val="2"/>
          <w:sz w:val="21"/>
          <w:szCs w:val="21"/>
          <w:u w:val="none"/>
          <w:shd w:val="clear" w:fill="FEFEFE"/>
          <w:lang w:val="en-US" w:eastAsia="zh-CN" w:bidi="ar"/>
        </w:rPr>
        <w:fldChar w:fldCharType="begin"/>
      </w:r>
      <w:r>
        <w:rPr>
          <w:rFonts w:hint="default" w:ascii="Calibri" w:hAnsi="Calibri" w:eastAsia="宋体" w:cs="Times New Roman"/>
          <w:color w:val="000000"/>
          <w:kern w:val="2"/>
          <w:sz w:val="21"/>
          <w:szCs w:val="21"/>
          <w:u w:val="none"/>
          <w:shd w:val="clear" w:fill="FEFEFE"/>
          <w:lang w:val="en-US" w:eastAsia="zh-CN" w:bidi="ar"/>
        </w:rPr>
        <w:instrText xml:space="preserve"> HYPERLINK "http://www.cbirc.gov.cn/cn/view/pages/ItemDetail.html?docId=982004&amp;itemId=915" </w:instrText>
      </w:r>
      <w:r>
        <w:rPr>
          <w:rFonts w:hint="default" w:ascii="Calibri" w:hAnsi="Calibri" w:eastAsia="宋体" w:cs="Times New Roman"/>
          <w:color w:val="000000"/>
          <w:kern w:val="2"/>
          <w:sz w:val="21"/>
          <w:szCs w:val="21"/>
          <w:u w:val="none"/>
          <w:shd w:val="clear" w:fill="FEFEFE"/>
          <w:lang w:val="en-US" w:eastAsia="zh-CN" w:bidi="ar"/>
        </w:rPr>
        <w:fldChar w:fldCharType="separate"/>
      </w:r>
      <w:r>
        <w:rPr>
          <w:rStyle w:val="7"/>
          <w:rFonts w:hint="default" w:ascii="仿宋_GB2312" w:hAnsi="Calibri" w:eastAsia="仿宋_GB2312" w:cs="仿宋_GB2312"/>
          <w:color w:val="000000"/>
          <w:kern w:val="2"/>
          <w:sz w:val="32"/>
          <w:szCs w:val="32"/>
          <w:u w:val="none"/>
          <w:shd w:val="clear" w:fill="FEFEFE"/>
        </w:rPr>
        <w:t>http://www.cbirc.gov.cn/cn/view/pages/ItemDetail.html?docId=982004&amp;itemId=915</w:t>
      </w:r>
      <w:r>
        <w:rPr>
          <w:rFonts w:hint="default" w:ascii="Calibri" w:hAnsi="Calibri" w:eastAsia="宋体" w:cs="Times New Roman"/>
          <w:color w:val="000000"/>
          <w:kern w:val="2"/>
          <w:sz w:val="21"/>
          <w:szCs w:val="21"/>
          <w:u w:val="none"/>
          <w:shd w:val="clear" w:fill="FEFEFE"/>
          <w:lang w:val="en-US" w:eastAsia="zh-CN" w:bidi="ar"/>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D712D6"/>
    <w:rsid w:val="3A2C36BD"/>
    <w:rsid w:val="78705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ind w:left="0" w:right="0"/>
      <w:jc w:val="left"/>
      <w:outlineLvl w:val="2"/>
    </w:pPr>
    <w:rPr>
      <w:rFonts w:hint="eastAsia" w:ascii="宋体" w:hAnsi="宋体" w:eastAsia="宋体" w:cs="宋体"/>
      <w:b/>
      <w:kern w:val="0"/>
      <w:sz w:val="27"/>
      <w:szCs w:val="27"/>
      <w:lang w:val="en-US" w:eastAsia="zh-CN" w:bidi="ar"/>
    </w:rPr>
  </w:style>
  <w:style w:type="character" w:default="1" w:styleId="3">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character" w:styleId="4">
    <w:name w:val="FollowedHyperlink"/>
    <w:basedOn w:val="3"/>
    <w:qFormat/>
    <w:uiPriority w:val="0"/>
    <w:rPr>
      <w:color w:val="000000"/>
      <w:u w:val="none"/>
    </w:rPr>
  </w:style>
  <w:style w:type="character" w:styleId="5">
    <w:name w:val="HTML Definition"/>
    <w:basedOn w:val="3"/>
    <w:qFormat/>
    <w:uiPriority w:val="0"/>
  </w:style>
  <w:style w:type="character" w:styleId="6">
    <w:name w:val="HTML Variable"/>
    <w:basedOn w:val="3"/>
    <w:qFormat/>
    <w:uiPriority w:val="0"/>
  </w:style>
  <w:style w:type="character" w:styleId="7">
    <w:name w:val="Hyperlink"/>
    <w:basedOn w:val="3"/>
    <w:qFormat/>
    <w:uiPriority w:val="0"/>
    <w:rPr>
      <w:color w:val="000000"/>
      <w:u w:val="none"/>
    </w:rPr>
  </w:style>
  <w:style w:type="character" w:styleId="8">
    <w:name w:val="HTML Code"/>
    <w:basedOn w:val="3"/>
    <w:qFormat/>
    <w:uiPriority w:val="0"/>
    <w:rPr>
      <w:rFonts w:ascii="Courier New" w:hAnsi="Courier New"/>
      <w:sz w:val="20"/>
    </w:rPr>
  </w:style>
  <w:style w:type="character" w:styleId="9">
    <w:name w:val="HTML Cite"/>
    <w:basedOn w:val="3"/>
    <w:qFormat/>
    <w:uiPriority w:val="0"/>
  </w:style>
  <w:style w:type="character" w:customStyle="1" w:styleId="11">
    <w:name w:val="10"/>
    <w:basedOn w:val="3"/>
    <w:uiPriority w:val="0"/>
    <w:rPr>
      <w:rFonts w:hint="default" w:ascii="Times New Roman" w:hAnsi="Times New Roman" w:cs="Times New Roman"/>
    </w:rPr>
  </w:style>
  <w:style w:type="character" w:customStyle="1" w:styleId="12">
    <w:name w:val="16"/>
    <w:basedOn w:val="3"/>
    <w:qFormat/>
    <w:uiPriority w:val="0"/>
    <w:rPr>
      <w:rFonts w:hint="default" w:ascii="Times New Roman" w:hAnsi="Times New Roman" w:cs="Times New Roman"/>
    </w:rPr>
  </w:style>
  <w:style w:type="character" w:customStyle="1" w:styleId="13">
    <w:name w:val="19"/>
    <w:basedOn w:val="3"/>
    <w:qFormat/>
    <w:uiPriority w:val="0"/>
    <w:rPr>
      <w:rFonts w:hint="default" w:ascii="Times New Roman" w:hAnsi="Times New Roman" w:cs="Times New Roman"/>
      <w:color w:val="000000"/>
    </w:rPr>
  </w:style>
  <w:style w:type="character" w:customStyle="1" w:styleId="14">
    <w:name w:val="18"/>
    <w:basedOn w:val="3"/>
    <w:qFormat/>
    <w:uiPriority w:val="0"/>
    <w:rPr>
      <w:rFonts w:hint="default" w:ascii="Courier New" w:hAnsi="Courier New" w:cs="Courier New"/>
      <w:sz w:val="20"/>
      <w:szCs w:val="20"/>
    </w:rPr>
  </w:style>
  <w:style w:type="character" w:customStyle="1" w:styleId="15">
    <w:name w:val="20"/>
    <w:basedOn w:val="3"/>
    <w:qFormat/>
    <w:uiPriority w:val="0"/>
    <w:rPr>
      <w:rFonts w:hint="default" w:ascii="Times New Roman" w:hAnsi="Times New Roman" w:cs="Times New Roman"/>
      <w:color w:val="702E00"/>
    </w:rPr>
  </w:style>
  <w:style w:type="character" w:customStyle="1" w:styleId="16">
    <w:name w:val="15"/>
    <w:basedOn w:val="3"/>
    <w:uiPriority w:val="0"/>
    <w:rPr>
      <w:rFonts w:hint="default" w:ascii="Times New Roman" w:hAnsi="Times New Roman" w:cs="Times New Roman"/>
      <w:color w:val="000000"/>
    </w:rPr>
  </w:style>
  <w:style w:type="character" w:customStyle="1" w:styleId="17">
    <w:name w:val="17"/>
    <w:basedOn w:val="3"/>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Office_10.8.0.6518_F1E327BC-269C-435d-A152-05C5408002CA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gcb</dc:creator>
  <cp:lastModifiedBy>杨艳明</cp:lastModifiedBy>
  <dcterms:modified xsi:type="dcterms:W3CDTF">2021-08-13T10:16:35Z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2052-10.8.0.6518</vt:lpwstr>
  </property>
</Properties>
</file>